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704"/>
        <w:gridCol w:w="2448"/>
      </w:tblGrid>
      <w:tr>
        <w:tc>
          <w:tcPr>
            <w:tcW w:type="dxa" w:w="5184"/>
            <w:shd w:fill="071A2B"/>
          </w:tcPr>
          <w:p>
            <w:r/>
            <w:r>
              <w:rPr>
                <w:rFonts w:ascii="Aptos Display" w:hAnsi="Aptos Display"/>
                <w:b/>
                <w:color w:val="FFFFFF"/>
                <w:sz w:val="48"/>
              </w:rPr>
              <w:t>María Victoria Delfín Lili</w:t>
            </w:r>
          </w:p>
          <w:p>
            <w:r>
              <w:rPr>
                <w:rFonts w:ascii="Aptos" w:hAnsi="Aptos"/>
                <w:b/>
                <w:color w:val="84D8D0"/>
                <w:sz w:val="22"/>
              </w:rPr>
              <w:t>Socia | Operación clínica y reclutamiento de pacientes</w:t>
            </w:r>
          </w:p>
        </w:tc>
        <w:tc>
          <w:tcPr>
            <w:tcW w:type="dxa" w:w="5184"/>
            <w:shd w:fill="0A6571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BIOQUALIX</w:t>
              <w:br/>
              <w:t>PERFIL CORPORATIVO</w:t>
            </w:r>
          </w:p>
        </w:tc>
      </w:tr>
    </w:tbl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PERFIL EJECUTIVO</w:t>
      </w:r>
    </w:p>
    <w:p>
      <w:pPr>
        <w:spacing w:after="120"/>
      </w:pPr>
      <w:r>
        <w:t>Líder estratégica en investigación clínica con más de 15 años de experiencia internacional en ensayos Fase II, III y IV y estudios de bioequivalencia. Su trayectoria integra operaciones clínicas, reclutamiento y retención de pacientes, expansión de redes de sitios y coordinación multinacional.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ÁREAS DE ESPECIALIDAD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Operaciones clínicas multicountry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Estrategias de reclutamiento y retención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Redes de sitios y referencia médica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Gestión proactiva de riesgos clínicos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Buenas Prácticas Clínicas y experiencia del paciente</w:t>
            </w:r>
          </w:p>
        </w:tc>
      </w:tr>
    </w:tbl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EXPERIENCIA RELEVANTE</w:t>
      </w:r>
    </w:p>
    <w:p>
      <w:pPr>
        <w:spacing w:after="80"/>
      </w:pPr>
      <w:r>
        <w:rPr>
          <w:b/>
          <w:color w:val="071A2B"/>
        </w:rPr>
        <w:t xml:space="preserve">Dirección de reclutamiento — </w:t>
      </w:r>
      <w:r>
        <w:rPr>
          <w:color w:val="5D6B76"/>
        </w:rPr>
        <w:t>Diseño y ejecución de estrategias multicanal, seguimiento de métricas y optimización de tiempos de inclusión.</w:t>
      </w:r>
    </w:p>
    <w:p>
      <w:pPr>
        <w:spacing w:after="80"/>
      </w:pPr>
      <w:r>
        <w:rPr>
          <w:b/>
          <w:color w:val="071A2B"/>
        </w:rPr>
        <w:t xml:space="preserve">Operaciones globales — </w:t>
      </w:r>
      <w:r>
        <w:rPr>
          <w:color w:val="5D6B76"/>
        </w:rPr>
        <w:t>Experiencia en CROs globales y proyectos en Latinoamérica, Norteamérica y Asia.</w:t>
      </w:r>
    </w:p>
    <w:p>
      <w:pPr>
        <w:spacing w:after="80"/>
      </w:pPr>
      <w:r>
        <w:rPr>
          <w:b/>
          <w:color w:val="071A2B"/>
        </w:rPr>
        <w:t xml:space="preserve">Desarrollo de sitios — </w:t>
      </w:r>
      <w:r>
        <w:rPr>
          <w:color w:val="5D6B76"/>
        </w:rPr>
        <w:t>Expansión de redes de centros y construcción de alianzas con hospitales, academias y especialistas.</w:t>
      </w:r>
    </w:p>
    <w:p>
      <w:pPr>
        <w:spacing w:after="80"/>
      </w:pPr>
      <w:r>
        <w:rPr>
          <w:b/>
          <w:color w:val="071A2B"/>
        </w:rPr>
        <w:t xml:space="preserve">Resultados documentados — </w:t>
      </w:r>
      <w:r>
        <w:rPr>
          <w:color w:val="5D6B76"/>
        </w:rPr>
        <w:t>Participación en reducción de periodos de reclutamiento y expansión de centros para estudios globales.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SERVICIOS QUE PUEDE LIDERAR EN BIOQUALIX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Factibilidad y estrategia de sitios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Reclutamiento y retención de pacientes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Planeación operativa de estudios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Evaluación de redes y proveedores clínicos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Capacitación en operación clínica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ALCANCE Y TRAZABILIDAD</w:t>
      </w:r>
    </w:p>
    <w:p>
      <w:pPr>
        <w:spacing w:after="120"/>
      </w:pPr>
      <w:r>
        <w:t>Este perfil corporativo resume experiencia documentada para fines comerciales. El alcance de cada servicio se formaliza mediante propuesta, contrato, responsables y exclusiones específicas. Fuente: Bioqualix 2026.pptx, diapositiva de perfil de Victoria Delfín.</w:t>
      </w:r>
    </w:p>
    <w:p>
      <w:pPr>
        <w:jc w:val="center"/>
      </w:pPr>
      <w:r>
        <w:rPr>
          <w:b/>
          <w:color w:val="0A6571"/>
          <w:sz w:val="16"/>
        </w:rPr>
        <w:t>BIOQUALIX | Consultoría para investigación clínica y ciencias de la vida | Versión 1.0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5D6B76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