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704"/>
        <w:gridCol w:w="2448"/>
      </w:tblGrid>
      <w:tr>
        <w:tc>
          <w:tcPr>
            <w:tcW w:type="dxa" w:w="5184"/>
            <w:shd w:fill="071A2B"/>
          </w:tcPr>
          <w:p>
            <w:r/>
            <w:r>
              <w:rPr>
                <w:rFonts w:ascii="Aptos Display" w:hAnsi="Aptos Display"/>
                <w:b/>
                <w:color w:val="FFFFFF"/>
                <w:sz w:val="48"/>
              </w:rPr>
              <w:t>Mónica Carolina Figueroa Cruz</w:t>
            </w:r>
          </w:p>
          <w:p>
            <w:r>
              <w:rPr>
                <w:rFonts w:ascii="Aptos" w:hAnsi="Aptos"/>
                <w:b/>
                <w:color w:val="84D8D0"/>
                <w:sz w:val="22"/>
              </w:rPr>
              <w:t>Socia | Dirección de estudios y operaciones clínicas</w:t>
            </w:r>
          </w:p>
        </w:tc>
        <w:tc>
          <w:tcPr>
            <w:tcW w:type="dxa" w:w="5184"/>
            <w:shd w:fill="0A6571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BIOQUALIX</w:t>
              <w:br/>
              <w:t>PERFIL CORPORATIVO</w:t>
            </w:r>
          </w:p>
        </w:tc>
      </w:tr>
    </w:tbl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PERFIL EJECUTIVO</w:t>
      </w:r>
    </w:p>
    <w:p>
      <w:pPr>
        <w:spacing w:after="120"/>
      </w:pPr>
      <w:r>
        <w:t>Profesional senior de investigación clínica con más de 25 años de experiencia dirigiendo programas Fase I–IV y equipos multidisciplinarios en LATAM, Estados Unidos, Europa y Asia. Combina dirección operativa, control financiero, gestión de riesgos y calidad regulatoria.</w:t>
      </w:r>
    </w:p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ÁREAS DE ESPECIALIDAD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Dirección global de estudios clínicos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Oncología, vacunas y neurociencias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Presupuestos, alcance y change orders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ICH-GCP, COFEPRIS, FDA y EMA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CTMS, eTMF, EDC y Veeva Vault</w:t>
            </w:r>
          </w:p>
        </w:tc>
      </w:tr>
    </w:tbl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EXPERIENCIA RELEVANTE</w:t>
      </w:r>
    </w:p>
    <w:p>
      <w:pPr>
        <w:spacing w:after="80"/>
      </w:pPr>
      <w:r>
        <w:rPr>
          <w:b/>
          <w:color w:val="071A2B"/>
        </w:rPr>
        <w:t xml:space="preserve">IQVIA / IQVIA Biotech — </w:t>
      </w:r>
      <w:r>
        <w:rPr>
          <w:color w:val="5D6B76"/>
        </w:rPr>
        <w:t>Project Manager y Sr. Clinical Project Manager; planeación, sponsor management, auditoría, calidad y presupuestos.</w:t>
      </w:r>
    </w:p>
    <w:p>
      <w:pPr>
        <w:spacing w:after="80"/>
      </w:pPr>
      <w:r>
        <w:rPr>
          <w:b/>
          <w:color w:val="071A2B"/>
        </w:rPr>
        <w:t xml:space="preserve">Tigermed — </w:t>
      </w:r>
      <w:r>
        <w:rPr>
          <w:color w:val="5D6B76"/>
        </w:rPr>
        <w:t>Dirección de proyectos y programas de alta escala; seguimiento de KPIs, terceros, riesgos, CAPA y control financiero.</w:t>
      </w:r>
    </w:p>
    <w:p>
      <w:pPr>
        <w:spacing w:after="80"/>
      </w:pPr>
      <w:r>
        <w:rPr>
          <w:b/>
          <w:color w:val="071A2B"/>
        </w:rPr>
        <w:t xml:space="preserve">CROs globales — </w:t>
      </w:r>
      <w:r>
        <w:rPr>
          <w:color w:val="5D6B76"/>
        </w:rPr>
        <w:t>Experiencia previa en Syneos, ICON, PRA, PPD y otras organizaciones en monitoreo, liderazgo y gestión regional.</w:t>
      </w:r>
    </w:p>
    <w:p>
      <w:pPr>
        <w:spacing w:after="80"/>
      </w:pPr>
      <w:r>
        <w:rPr>
          <w:b/>
          <w:color w:val="071A2B"/>
        </w:rPr>
        <w:t xml:space="preserve">Formación — </w:t>
      </w:r>
      <w:r>
        <w:rPr>
          <w:color w:val="5D6B76"/>
        </w:rPr>
        <w:t>QFB y Maestría en Tecnología Farmacéutica por la UNAM; formación formal como CRA, field trainer y project manager.</w:t>
      </w:r>
    </w:p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SERVICIOS QUE PUEDE LIDERAR EN BIOQUALIX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Dirección y rescate de estudios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Project management clínico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Monitoreo y supervisión de sitios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Gestión de presupuesto y alcance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Capacitación de PMs, CRAs y equipos clínicos</w:t>
      </w:r>
    </w:p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ALCANCE Y TRAZABILIDAD</w:t>
      </w:r>
    </w:p>
    <w:p>
      <w:pPr>
        <w:spacing w:after="120"/>
      </w:pPr>
      <w:r>
        <w:t>Este perfil corporativo resume experiencia documentada para fines comerciales. El alcance de cada servicio se formaliza mediante propuesta, contrato, responsables y exclusiones específicas. Fuente: CV Monica Figueroa May 2026.docx; Bioqualix 2026.pptx.</w:t>
      </w:r>
    </w:p>
    <w:p>
      <w:pPr>
        <w:jc w:val="center"/>
      </w:pPr>
      <w:r>
        <w:rPr>
          <w:b/>
          <w:color w:val="0A6571"/>
          <w:sz w:val="16"/>
        </w:rPr>
        <w:t>BIOQUALIX | Consultoría para investigación clínica y ciencias de la vida | Versión 1.0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5D6B76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